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8647" w:right="283"/>
        <w:rPr>
          <w:color w:val="FFFFFF"/>
        </w:rPr>
      </w:pPr>
      <w:r>
        <w:rPr>
          <w:color w:val="FFFFFF"/>
        </w:rPr>
        <w:t>директора де</w:t>
      </w:r>
    </w:p>
    <w:p>
      <w:pPr>
        <w:pStyle w:val="Normal"/>
        <w:jc w:val="center"/>
        <w:rPr>
          <w:szCs w:val="28"/>
        </w:rPr>
      </w:pPr>
      <w:r>
        <w:rPr>
          <w:szCs w:val="28"/>
        </w:rPr>
        <w:t>П Л А Н</w:t>
      </w:r>
    </w:p>
    <w:p>
      <w:pPr>
        <w:pStyle w:val="Heading3"/>
        <w:jc w:val="center"/>
        <w:rPr>
          <w:b w:val="false"/>
          <w:szCs w:val="28"/>
        </w:rPr>
      </w:pPr>
      <w:r>
        <w:rPr>
          <w:b w:val="false"/>
        </w:rPr>
        <w:t xml:space="preserve">ФГКУЗ «Санаторий «Федосьино» </w:t>
      </w:r>
      <w:r>
        <w:rPr>
          <w:b w:val="false"/>
          <w:szCs w:val="28"/>
        </w:rPr>
        <w:t xml:space="preserve">войск национальной гвардии Российской Федерации </w:t>
      </w:r>
    </w:p>
    <w:p>
      <w:pPr>
        <w:pStyle w:val="Heading3"/>
        <w:jc w:val="center"/>
        <w:rPr>
          <w:b w:val="false"/>
          <w:szCs w:val="28"/>
        </w:rPr>
      </w:pPr>
      <w:r>
        <w:rPr>
          <w:b w:val="false"/>
          <w:szCs w:val="28"/>
        </w:rPr>
        <w:t xml:space="preserve">по противодействию коррупции на  </w:t>
      </w:r>
    </w:p>
    <w:p>
      <w:pPr>
        <w:pStyle w:val="Normal"/>
        <w:jc w:val="center"/>
        <w:rPr>
          <w:szCs w:val="28"/>
        </w:rPr>
      </w:pPr>
      <w:r>
        <w:rPr>
          <w:szCs w:val="28"/>
        </w:rPr>
        <w:t>2025-2030 годы</w:t>
      </w:r>
    </w:p>
    <w:p>
      <w:pPr>
        <w:pStyle w:val="Normal"/>
        <w:spacing w:lineRule="auto" w:line="228"/>
        <w:ind w:hanging="0"/>
        <w:rPr>
          <w:b/>
          <w:sz w:val="26"/>
          <w:szCs w:val="26"/>
        </w:rPr>
      </w:pPr>
      <w:r>
        <w:rPr>
          <w:b/>
          <w:sz w:val="26"/>
          <w:szCs w:val="26"/>
        </w:rPr>
      </w:r>
    </w:p>
    <w:tbl>
      <w:tblPr>
        <w:tblW w:w="15451" w:type="dxa"/>
        <w:jc w:val="left"/>
        <w:tblInd w:w="70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val="0000" w:noHBand="0" w:noVBand="0" w:firstColumn="0" w:lastRow="0" w:lastColumn="0" w:firstRow="0"/>
      </w:tblPr>
      <w:tblGrid>
        <w:gridCol w:w="709"/>
        <w:gridCol w:w="7229"/>
        <w:gridCol w:w="1700"/>
        <w:gridCol w:w="1761"/>
        <w:gridCol w:w="4052"/>
      </w:tblGrid>
      <w:tr>
        <w:trPr>
          <w:tblHeader w:val="true"/>
          <w:trHeight w:val="551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hanging="0" w:left="-70" w:right="-70"/>
              <w:jc w:val="center"/>
              <w:rPr>
                <w:b/>
                <w:sz w:val="22"/>
                <w:szCs w:val="25"/>
              </w:rPr>
            </w:pPr>
            <w:r>
              <w:rPr>
                <w:b/>
                <w:sz w:val="22"/>
                <w:szCs w:val="25"/>
              </w:rPr>
              <w:t>№</w:t>
            </w:r>
          </w:p>
          <w:p>
            <w:pPr>
              <w:pStyle w:val="Normal"/>
              <w:ind w:hanging="0" w:left="-70" w:right="-70"/>
              <w:jc w:val="center"/>
              <w:rPr>
                <w:b/>
                <w:sz w:val="22"/>
                <w:szCs w:val="25"/>
              </w:rPr>
            </w:pPr>
            <w:r>
              <w:rPr>
                <w:b/>
                <w:sz w:val="22"/>
                <w:szCs w:val="25"/>
              </w:rPr>
              <w:t>п/п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hanging="0" w:left="-70" w:right="-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hanging="0" w:left="-70" w:right="-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Ответственные исполнители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hanging="0" w:left="-70" w:right="-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</w:t>
            </w:r>
          </w:p>
          <w:p>
            <w:pPr>
              <w:pStyle w:val="Normal"/>
              <w:ind w:hanging="0" w:left="-70" w:right="-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исполнения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  <w:vAlign w:val="center"/>
          </w:tcPr>
          <w:p>
            <w:pPr>
              <w:pStyle w:val="Normal"/>
              <w:ind w:hanging="0" w:left="-70" w:right="-7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Ожидаемый результат</w:t>
            </w:r>
          </w:p>
          <w:p>
            <w:pPr>
              <w:pStyle w:val="Normal"/>
              <w:ind w:hanging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76" w:hRule="atLeast"/>
          <w:cantSplit w:val="true"/>
        </w:trPr>
        <w:tc>
          <w:tcPr>
            <w:tcW w:w="154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b/>
                <w:sz w:val="25"/>
                <w:szCs w:val="25"/>
              </w:rPr>
            </w:pPr>
            <w:r>
              <w:rPr>
                <w:b/>
                <w:sz w:val="25"/>
                <w:szCs w:val="25"/>
              </w:rPr>
              <w:t xml:space="preserve">I. </w:t>
            </w:r>
            <w:r>
              <w:rPr>
                <w:b/>
                <w:sz w:val="24"/>
                <w:szCs w:val="24"/>
              </w:rPr>
              <w:t>Повышение эффективности механизмов урегулирования конфликта интересов, обеспечение соблюдения федеральными государственными служащими ограничений, запретов и принципов служебного поведения в связи с исполнением ими должностных обязанностей, а также ответственности за их нарушение</w:t>
            </w:r>
          </w:p>
        </w:tc>
      </w:tr>
      <w:tr>
        <w:trPr>
          <w:trHeight w:val="2961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tabs>
                <w:tab w:val="clear" w:pos="709"/>
                <w:tab w:val="right" w:pos="750" w:leader="none"/>
              </w:tabs>
              <w:spacing w:lineRule="exact" w:line="300" w:before="0" w:after="0"/>
              <w:ind w:firstLine="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правовой и антикоррупционной направленности (занятия, научно-практические конференции, семинары совещания) по соблюдению военнослужащими и работниками запретов, ограничений и обязанностей, установленных законодательством Российской Федерации в целях противодействия коррупции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В течении 2025-2030гг.</w:t>
            </w:r>
          </w:p>
          <w:p>
            <w:pPr>
              <w:pStyle w:val="Normal"/>
              <w:spacing w:lineRule="exact" w:line="300"/>
              <w:ind w:hanging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не реже одного раза в квартал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4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Формирование у государственных служащих и работников санатория негативного отношения к коррупционному поведению привлечения их к активному участию в противодействии коррупции, повышении уровня знаний государственных служащих и работников по вопросам противодействия коррупции</w:t>
            </w:r>
          </w:p>
        </w:tc>
      </w:tr>
      <w:tr>
        <w:trPr>
          <w:trHeight w:val="2224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tabs>
                <w:tab w:val="clear" w:pos="709"/>
                <w:tab w:val="right" w:pos="750" w:leader="none"/>
              </w:tabs>
              <w:spacing w:before="0" w:after="0"/>
              <w:ind w:firstLine="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проводимых (проведенных) проверок по случаям несоблюдения государственными служащими санатория ограничений, запретов и неисполнения обязанностей, установленных в целях противодействия коррупции, а также анализ соразмерности примененных мер юридической ответственности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Ежемесячно до 15 числа месяца, следующего за отчетным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Ведение учета антикоррупционных проверок и примененных к государственным служащим мер юридической ответственности.</w:t>
            </w:r>
          </w:p>
          <w:p>
            <w:pPr>
              <w:pStyle w:val="user2"/>
              <w:jc w:val="both"/>
              <w:rPr>
                <w:rFonts w:ascii="Calibri" w:hAnsi="Calibri" w:asciiTheme="minorHAnsi" w:hAnsiTheme="minorHAnsi"/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Выявление случаев нарушений порядка проведения проверок</w:t>
            </w:r>
          </w:p>
        </w:tc>
      </w:tr>
      <w:tr>
        <w:trPr>
          <w:trHeight w:val="911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Осуществление контроля исполнения государственными служащими Росгвардии обязанности по уведомлению представителя нанимателя о выполнении иной оплачиваемой деятельности:</w:t>
            </w:r>
          </w:p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- в период работы в субъектах войск;</w:t>
            </w:r>
          </w:p>
          <w:p>
            <w:pPr>
              <w:pStyle w:val="3"/>
              <w:shd w:val="clear" w:color="auto" w:fill="auto"/>
              <w:tabs>
                <w:tab w:val="clear" w:pos="709"/>
                <w:tab w:val="right" w:pos="750" w:leader="none"/>
              </w:tabs>
              <w:spacing w:before="0" w:after="0"/>
              <w:ind w:firstLine="7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письмо в субъекты войск о предоставлении указанных сведений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Ежегодно до 31 марта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Доклад по результатам мониторинга исполнения обязанности по уведомлению. Соблюдение государственными служащими обязанности по предварительному уведомлению руководителя о выполнении иной оплачиваемой деятельности</w:t>
            </w:r>
          </w:p>
        </w:tc>
      </w:tr>
      <w:tr>
        <w:trPr>
          <w:trHeight w:val="1117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Проведение работы по выявлению случаев возникновения конфликта интересов у государственных служащих и работников, осуществление мер по противодействию и урегулированию конфликта интересов, а также применение мер юридической ответственности, предусмотренных законодательством о противодействии коррупции</w:t>
            </w:r>
          </w:p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user2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Ежегодно до 1 ноября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color w:themeColor="text1" w:val="000000"/>
                <w:spacing w:val="2"/>
                <w:sz w:val="24"/>
                <w:lang w:eastAsia="en-US"/>
              </w:rPr>
              <w:t>Принятие мер по предотвращению и урегулированию конфликта интересов</w:t>
            </w:r>
          </w:p>
        </w:tc>
      </w:tr>
      <w:tr>
        <w:trPr>
          <w:trHeight w:val="1117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Проведение анализа сведений о возможности возникновения конфликта интересов у государственных служащих, состоящих в близком родстве или свойстве (родители, супруги, дети, братья, сестры</w:t>
            </w:r>
            <w:r>
              <w:rPr>
                <w:rFonts w:ascii="Calibri" w:hAnsi="Calibri" w:asciiTheme="minorHAnsi" w:hAnsiTheme="minorHAnsi"/>
                <w:spacing w:val="2"/>
                <w:sz w:val="24"/>
                <w:lang w:eastAsia="en-US"/>
              </w:rPr>
              <w:t>,</w:t>
            </w:r>
            <w:r>
              <w:rPr>
                <w:spacing w:val="2"/>
                <w:sz w:val="24"/>
                <w:lang w:eastAsia="en-US"/>
              </w:rPr>
              <w:t xml:space="preserve"> а также братья, сестры, родители, дети супругов и супруги детей), и проходящих службу в войсках национальной гвардии</w:t>
            </w:r>
          </w:p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</w:r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user2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Ежегодно первый квартал</w:t>
            </w:r>
          </w:p>
        </w:tc>
        <w:tc>
          <w:tcPr>
            <w:tcW w:w="40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color w:themeColor="text1" w:val="000000"/>
                <w:spacing w:val="2"/>
                <w:sz w:val="24"/>
                <w:lang w:eastAsia="en-US"/>
              </w:rPr>
              <w:t>Доклад по результатам анализа сведений, подготовка предложений по  предупреждению возможного возникновения конфликта  интересов</w:t>
            </w:r>
          </w:p>
        </w:tc>
      </w:tr>
      <w:tr>
        <w:trPr>
          <w:trHeight w:val="1117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Доведение до лиц, замещающих должности федеральной государственной службы, положений законодательства Российской Федерации о противодействии коррупции, в том числе об установлении наказания за получение и дачу взятки, посредничество во взяточничестве в виде штрафов, кратных сумме взятки, об увольнении в связи с утратой доверия, о порядке проверки сведений, представляемых федеральными государственными служащими в соответствии с законодательством Российской Федерации о противодействии коррупции</w:t>
            </w:r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user2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Ежегодно до 15 января</w:t>
            </w:r>
          </w:p>
        </w:tc>
        <w:tc>
          <w:tcPr>
            <w:tcW w:w="40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color w:themeColor="text1" w:val="000000"/>
                <w:spacing w:val="2"/>
                <w:sz w:val="24"/>
                <w:lang w:eastAsia="en-US"/>
              </w:rPr>
              <w:t>Доведение обзора об осуждение личного состава за совершенные преступления, в том числе коррупционной направленности. Формирование у государственных служащих отрицательного отношения к коррупции</w:t>
            </w:r>
          </w:p>
          <w:p>
            <w:pPr>
              <w:pStyle w:val="user2"/>
              <w:rPr>
                <w:color w:val="FF0000"/>
                <w:spacing w:val="2"/>
                <w:sz w:val="24"/>
                <w:lang w:eastAsia="en-US"/>
              </w:rPr>
            </w:pPr>
            <w:r>
              <w:rPr>
                <w:color w:val="FF0000"/>
                <w:spacing w:val="2"/>
                <w:sz w:val="24"/>
                <w:lang w:eastAsia="en-US"/>
              </w:rPr>
            </w:r>
          </w:p>
          <w:p>
            <w:pPr>
              <w:pStyle w:val="user2"/>
              <w:rPr>
                <w:color w:val="FF0000"/>
                <w:spacing w:val="2"/>
                <w:sz w:val="24"/>
                <w:lang w:eastAsia="en-US"/>
              </w:rPr>
            </w:pPr>
            <w:r>
              <w:rPr>
                <w:color w:val="FF0000"/>
                <w:spacing w:val="2"/>
                <w:sz w:val="24"/>
                <w:lang w:eastAsia="en-US"/>
              </w:rPr>
            </w:r>
          </w:p>
          <w:p>
            <w:pPr>
              <w:pStyle w:val="user2"/>
              <w:rPr>
                <w:color w:val="FF0000"/>
                <w:spacing w:val="2"/>
                <w:sz w:val="24"/>
                <w:lang w:eastAsia="en-US"/>
              </w:rPr>
            </w:pPr>
            <w:r>
              <w:rPr>
                <w:color w:val="FF0000"/>
                <w:spacing w:val="2"/>
                <w:sz w:val="24"/>
                <w:lang w:eastAsia="en-US"/>
              </w:rPr>
            </w:r>
          </w:p>
        </w:tc>
      </w:tr>
      <w:tr>
        <w:trPr>
          <w:trHeight w:val="1117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 xml:space="preserve">Проведение с государственными служащими  </w:t>
            </w:r>
            <w:r>
              <w:rPr>
                <w:rFonts w:cs="Times New Roman" w:ascii="Times New Roman" w:hAnsi="Times New Roman"/>
                <w:spacing w:val="2"/>
                <w:sz w:val="24"/>
                <w:lang w:eastAsia="en-US"/>
              </w:rPr>
              <w:t>санатория</w:t>
            </w:r>
            <w:r>
              <w:rPr>
                <w:spacing w:val="2"/>
                <w:sz w:val="24"/>
                <w:lang w:eastAsia="en-US"/>
              </w:rPr>
              <w:t xml:space="preserve"> мероприятий по разъяснению установленного запрета на  получение вознаграждений от физических и юридических лиц в связи с исполнением должностных (служебных) обязанностей, а также порядка действий при получении государственными служащими подарка в связи с протокольными мероприятиями, со служебными командировками и другими официальными мероприятиями</w:t>
            </w:r>
          </w:p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</w:r>
          </w:p>
        </w:tc>
        <w:tc>
          <w:tcPr>
            <w:tcW w:w="1700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left w:val="single" w:sz="6" w:space="0" w:color="000000"/>
              <w:bottom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В течении 2025-2030 гг. не реже одного раза в квартал</w:t>
            </w:r>
          </w:p>
        </w:tc>
        <w:tc>
          <w:tcPr>
            <w:tcW w:w="4052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Проведение занятий по разъяснению установленного запрета на  получение вознаграждений от физических и юридических лиц в связи с исполнением должностных (служебных) обязанностей</w:t>
            </w:r>
          </w:p>
        </w:tc>
      </w:tr>
      <w:tr>
        <w:trPr>
          <w:trHeight w:val="97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spacing w:lineRule="auto" w:line="216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Проведение мероприятий по подготовке к декларационной компании, доведение до сведения государственных служащих и работников Росгвардии, замещающих должности, включенные в перечни, информации, касающейся:</w:t>
            </w:r>
          </w:p>
          <w:p>
            <w:pPr>
              <w:pStyle w:val="user2"/>
              <w:spacing w:lineRule="auto" w:line="216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-порядка и сроков предоставления сведений о своих доходах, расходах, об имуществе и обязательствах имущественного характера, а также сведений о доходах, расходах, об имуществе и обязательствах имущественного характера своих супруги (супруга) и несовершеннолетних детей;</w:t>
            </w:r>
          </w:p>
          <w:p>
            <w:pPr>
              <w:pStyle w:val="user2"/>
              <w:spacing w:lineRule="auto" w:line="216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-типовых ошибок, допускаемых при предоставлении сведений о доходах;</w:t>
            </w:r>
          </w:p>
          <w:p>
            <w:pPr>
              <w:pStyle w:val="user2"/>
              <w:spacing w:lineRule="auto" w:line="216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-положение Методических рекомендаций по вопросам предоставления сведений о доходах и заполнения соответствующей формы справки;</w:t>
            </w:r>
          </w:p>
          <w:p>
            <w:pPr>
              <w:pStyle w:val="user2"/>
              <w:spacing w:lineRule="auto" w:line="216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 xml:space="preserve">-использование специального программного обеспечения </w:t>
              <w:br/>
              <w:t>«Справки БК»;</w:t>
            </w:r>
          </w:p>
          <w:p>
            <w:pPr>
              <w:pStyle w:val="user2"/>
              <w:spacing w:lineRule="auto" w:line="216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rFonts w:ascii="Calibri" w:hAnsi="Calibri" w:asciiTheme="minorHAnsi" w:hAnsiTheme="minorHAnsi"/>
                <w:spacing w:val="2"/>
                <w:sz w:val="24"/>
                <w:lang w:eastAsia="en-US"/>
              </w:rPr>
              <w:t>-</w:t>
            </w:r>
            <w:r>
              <w:rPr>
                <w:spacing w:val="2"/>
                <w:sz w:val="24"/>
                <w:lang w:eastAsia="en-US"/>
              </w:rPr>
              <w:t>мер юридической ответственности зав предоставление недостоверных или неполных сведений о доходах</w:t>
            </w:r>
          </w:p>
          <w:p>
            <w:pPr>
              <w:pStyle w:val="user2"/>
              <w:spacing w:lineRule="auto" w:line="216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Calibri" w:hAnsi="Calibri" w:eastAsia="Source Han Sans CN Regular" w:cs="Lohit Devanagari" w:asciiTheme="minorHAnsi" w:hAnsiTheme="minorHAns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Calibri" w:hAnsi="Calibri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4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 xml:space="preserve">Повышение уровня знаний государственных служащих </w:t>
            </w:r>
            <w:r>
              <w:rPr>
                <w:rFonts w:eastAsia="Source Han Sans CN Regular"/>
                <w:spacing w:val="2"/>
                <w:kern w:val="2"/>
                <w:sz w:val="24"/>
                <w:szCs w:val="24"/>
                <w:lang w:eastAsia="en-US"/>
              </w:rPr>
              <w:t>санатория</w:t>
            </w: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 xml:space="preserve"> по вопросам противодействия коррупции, снижение количества нарушений законодательства о противодействии коррупции, допущенных лицами, представившими сведения о доходах в рамках декларационной кампании</w:t>
            </w:r>
          </w:p>
        </w:tc>
      </w:tr>
      <w:tr>
        <w:trPr>
          <w:trHeight w:val="1117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Осуществление сбора сведений о доходах в рамках декларационной кампании, контроль за своевременностью предоставления указанных сведений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Ежегодно до 30 апреля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4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Доклад о завершении сбора сведений о доходах. Обеспечение своевременного исполнения государственными служащими Главного центра обязанностей по представлению сведений о доходах</w:t>
            </w:r>
          </w:p>
        </w:tc>
      </w:tr>
      <w:tr>
        <w:trPr>
          <w:trHeight w:val="239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Анализ сведений о доходах, предоставленных в рамках декларационной компании в соответствии с нормативными правовыми актами РФ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Calibri" w:hAnsi="Calibri" w:eastAsia="Source Han Sans CN Regular" w:cs="Lohit Devanagari" w:asciiTheme="minorHAnsi" w:hAnsiTheme="minorHAns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Calibri" w:hAnsi="Calibri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Ежегодно до 15 июля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4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Доклад об итогах проведения декларационной кампании и подготовка предложений по принятию мер ответственности к лицам, допустивших нарушение антикоррупционного законодательства</w:t>
            </w:r>
          </w:p>
          <w:p>
            <w:pPr>
              <w:pStyle w:val="Normal"/>
              <w:ind w:firstLine="74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</w:r>
          </w:p>
        </w:tc>
      </w:tr>
      <w:tr>
        <w:trPr>
          <w:trHeight w:val="339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spacing w:lineRule="auto" w:line="228"/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tabs>
                <w:tab w:val="clear" w:pos="709"/>
                <w:tab w:val="right" w:pos="750" w:leader="none"/>
              </w:tabs>
              <w:spacing w:before="0" w:after="0"/>
              <w:ind w:firstLine="74"/>
              <w:jc w:val="both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kern w:val="2"/>
                <w:sz w:val="24"/>
                <w:szCs w:val="24"/>
              </w:rPr>
              <w:t>Проведение мероприятий, направленных на доведение до сведения государственных служащих (работников), впервые поступивших на федеральную государственную службу или на работу, информации об ограничениях и запретах, требованиях о предотвращении или урегулировании конфликта интересов, обязанностях, установленных Федеральным законом от 25 декабря 2008г.</w:t>
            </w:r>
            <w:r>
              <w:rPr>
                <w:rFonts w:eastAsia="Source Han Sans CN Regular" w:cs="Lohit Devanagari" w:ascii="Calibri" w:hAnsi="Calibri" w:asciiTheme="minorHAnsi" w:hAnsiTheme="minorHAnsi"/>
                <w:kern w:val="2"/>
                <w:sz w:val="24"/>
                <w:szCs w:val="24"/>
              </w:rPr>
              <w:t xml:space="preserve"> </w:t>
            </w:r>
            <w:r>
              <w:rPr>
                <w:rFonts w:eastAsia="Source Han Sans CN Regular" w:cs="Lohit Devanagari" w:ascii="PT Astra Serif" w:hAnsi="PT Astra Serif"/>
                <w:kern w:val="2"/>
                <w:sz w:val="24"/>
                <w:szCs w:val="24"/>
              </w:rPr>
              <w:t>№ 273-ФЗ «О противодействии коррупции» и другими федеральными законами, а также об уголовном преследовании за совершение преступлений коррупционной направленности</w:t>
            </w:r>
          </w:p>
          <w:p>
            <w:pPr>
              <w:pStyle w:val="3"/>
              <w:shd w:val="clear" w:color="auto" w:fill="auto"/>
              <w:tabs>
                <w:tab w:val="clear" w:pos="709"/>
                <w:tab w:val="right" w:pos="750" w:leader="none"/>
              </w:tabs>
              <w:spacing w:before="0" w:after="0"/>
              <w:ind w:firstLine="74"/>
              <w:jc w:val="both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kern w:val="2"/>
                <w:sz w:val="24"/>
                <w:szCs w:val="24"/>
              </w:rPr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spacing w:lineRule="exact" w:line="320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Web"/>
              <w:spacing w:lineRule="exact" w:line="320" w:beforeAutospacing="0" w:before="0" w:afterAutospacing="0" w:after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lang w:eastAsia="en-US"/>
              </w:rPr>
              <w:t>В течение</w:t>
            </w:r>
          </w:p>
          <w:p>
            <w:pPr>
              <w:pStyle w:val="Normal"/>
              <w:spacing w:lineRule="exact" w:line="320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2025-2030 гг.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20"/>
              <w:ind w:firstLine="74"/>
              <w:rPr>
                <w:rFonts w:ascii="Calibri" w:hAnsi="Calibri" w:eastAsia="Source Han Sans CN Regular" w:cs="Lohit Devanagari" w:asciiTheme="minorHAnsi" w:hAnsiTheme="minorHAns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 xml:space="preserve">Доступность информации об антикоррупционной деятельности в </w:t>
            </w:r>
            <w:r>
              <w:rPr>
                <w:rFonts w:eastAsia="Source Han Sans CN Regular"/>
                <w:spacing w:val="2"/>
                <w:kern w:val="2"/>
                <w:sz w:val="24"/>
                <w:szCs w:val="24"/>
                <w:lang w:eastAsia="en-US"/>
              </w:rPr>
              <w:t>санатории</w:t>
            </w:r>
          </w:p>
        </w:tc>
      </w:tr>
      <w:tr>
        <w:trPr>
          <w:trHeight w:val="339" w:hRule="atLeast"/>
          <w:cantSplit w:val="true"/>
        </w:trPr>
        <w:tc>
          <w:tcPr>
            <w:tcW w:w="154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20"/>
              <w:ind w:firstLine="74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II. Выявление и систематизация причин и условий проявления коррупции в деятельности Росгвардии, </w:t>
              <w:br/>
              <w:t>мониторинг коррупционных рисков и их устранение</w:t>
            </w:r>
          </w:p>
        </w:tc>
      </w:tr>
      <w:tr>
        <w:trPr>
          <w:trHeight w:val="381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 xml:space="preserve">Мониторинг сведений о ходе реализации в </w:t>
            </w:r>
            <w:r>
              <w:rPr>
                <w:rFonts w:cs="Times New Roman" w:ascii="Times New Roman" w:hAnsi="Times New Roman"/>
                <w:spacing w:val="2"/>
                <w:sz w:val="24"/>
                <w:lang w:eastAsia="en-US"/>
              </w:rPr>
              <w:t>санатории</w:t>
            </w:r>
            <w:r>
              <w:rPr>
                <w:rFonts w:ascii="Calibri" w:hAnsi="Calibri" w:asciiTheme="minorHAnsi" w:hAnsiTheme="minorHAnsi"/>
                <w:spacing w:val="2"/>
                <w:sz w:val="24"/>
                <w:lang w:eastAsia="en-US"/>
              </w:rPr>
              <w:t xml:space="preserve"> </w:t>
            </w:r>
            <w:r>
              <w:rPr>
                <w:spacing w:val="2"/>
                <w:sz w:val="24"/>
                <w:lang w:eastAsia="en-US"/>
              </w:rPr>
              <w:t>мероприятий по противодействию коррупции, анализ и обобщение результатов указанного  мониторинга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ПНС по СЧиК-НАО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ConsPlusNormal"/>
              <w:spacing w:lineRule="exact" w:line="300"/>
              <w:ind w:left="-70" w:right="-7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</w:rPr>
              <w:t>Ежегодно до</w:t>
            </w:r>
          </w:p>
          <w:p>
            <w:pPr>
              <w:pStyle w:val="ConsPlusNormal"/>
              <w:spacing w:lineRule="exact" w:line="300"/>
              <w:ind w:right="-57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</w:rPr>
              <w:t>1 февраля,</w:t>
            </w:r>
          </w:p>
          <w:p>
            <w:pPr>
              <w:pStyle w:val="ConsPlusNormal"/>
              <w:spacing w:lineRule="exact" w:line="300"/>
              <w:ind w:right="-57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</w:rPr>
              <w:t>до  1 мая,</w:t>
            </w:r>
          </w:p>
          <w:p>
            <w:pPr>
              <w:pStyle w:val="ConsPlusNormal"/>
              <w:spacing w:lineRule="exact" w:line="300"/>
              <w:ind w:right="-57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</w:rPr>
              <w:t>до  1 августа,</w:t>
            </w:r>
          </w:p>
          <w:p>
            <w:pPr>
              <w:pStyle w:val="ConsPlusNormal"/>
              <w:spacing w:lineRule="exact" w:line="300"/>
              <w:ind w:right="-57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</w:rPr>
              <w:t>до 20 октября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firstLine="74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Представление информации в ГУК Росгвардии</w:t>
            </w:r>
          </w:p>
        </w:tc>
      </w:tr>
      <w:tr>
        <w:trPr>
          <w:trHeight w:val="381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tabs>
                <w:tab w:val="clear" w:pos="709"/>
                <w:tab w:val="right" w:pos="750" w:leader="none"/>
              </w:tabs>
              <w:spacing w:before="0" w:after="0"/>
              <w:ind w:firstLine="74"/>
              <w:jc w:val="both"/>
              <w:rPr>
                <w:rFonts w:ascii="Calibri" w:hAnsi="Calibri" w:eastAsia="Source Han Sans CN Regular" w:cs="Lohit Devanagari" w:asciiTheme="minorHAnsi" w:hAnsiTheme="minorHAns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kern w:val="2"/>
                <w:sz w:val="24"/>
                <w:szCs w:val="24"/>
              </w:rPr>
              <w:t xml:space="preserve">Взаимодействие с надзорными, правоохранительными органами и иными государственными органами в рамках компетенции по вопросам организации противодействия коррупции в </w:t>
            </w:r>
            <w:r>
              <w:rPr>
                <w:rFonts w:eastAsia="Source Han Sans CN Regular"/>
                <w:kern w:val="2"/>
                <w:sz w:val="24"/>
                <w:szCs w:val="24"/>
              </w:rPr>
              <w:t>санатории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spacing w:lineRule="exact" w:line="300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06" w:leader="none"/>
              </w:tabs>
              <w:spacing w:lineRule="exact" w:line="300"/>
              <w:ind w:hanging="0" w:left="-70" w:right="-7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Ежегодно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rFonts w:ascii="Calibri" w:hAnsi="Calibri" w:asciiTheme="minorHAnsi" w:hAnsiTheme="minorHAnsi"/>
                <w:spacing w:val="2"/>
                <w:sz w:val="24"/>
                <w:lang w:eastAsia="en-US"/>
              </w:rPr>
            </w:pPr>
            <w:r>
              <w:rPr>
                <w:color w:themeColor="text1" w:val="000000"/>
                <w:spacing w:val="2"/>
                <w:sz w:val="24"/>
                <w:lang w:eastAsia="en-US"/>
              </w:rPr>
              <w:t>Оперативное реагирование на коррупционные правонарушения, обеспечение принципа неотвратимости юридической ответс</w:t>
            </w:r>
            <w:r>
              <w:rPr>
                <w:rFonts w:ascii="Calibri" w:hAnsi="Calibri" w:asciiTheme="minorHAnsi" w:hAnsiTheme="minorHAnsi"/>
                <w:color w:themeColor="text1" w:val="000000"/>
                <w:spacing w:val="2"/>
                <w:sz w:val="24"/>
                <w:lang w:eastAsia="en-US"/>
              </w:rPr>
              <w:t>т</w:t>
            </w:r>
            <w:r>
              <w:rPr>
                <w:color w:themeColor="text1" w:val="000000"/>
                <w:spacing w:val="2"/>
                <w:sz w:val="24"/>
                <w:lang w:eastAsia="en-US"/>
              </w:rPr>
              <w:t>венности</w:t>
            </w:r>
          </w:p>
        </w:tc>
      </w:tr>
      <w:tr>
        <w:trPr>
          <w:trHeight w:val="2145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 xml:space="preserve">Анализ и обобщение фактов привлечения личного  состава </w:t>
            </w:r>
            <w:r>
              <w:rPr>
                <w:rFonts w:cs="Times New Roman" w:ascii="Times New Roman" w:hAnsi="Times New Roman"/>
                <w:spacing w:val="2"/>
                <w:sz w:val="24"/>
                <w:lang w:eastAsia="en-US"/>
              </w:rPr>
              <w:t>санатория</w:t>
            </w:r>
            <w:r>
              <w:rPr>
                <w:spacing w:val="2"/>
                <w:sz w:val="24"/>
                <w:lang w:eastAsia="en-US"/>
              </w:rPr>
              <w:t xml:space="preserve"> к уголовному преследованию за преступления коррупционной направленности, а также фактов хищения средств, направленных на реализацию национальных и федеральных проектов (программ)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spacing w:lineRule="exact" w:line="300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06" w:leader="none"/>
              </w:tabs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Ежеквартально до 10 числа месяца, следующего за последним месяцем отчетного периода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 xml:space="preserve">Подготовка информации о состоянии воинской и служебной дисциплины и правопорядка в </w:t>
            </w:r>
            <w:r>
              <w:rPr>
                <w:rFonts w:cs="Times New Roman" w:ascii="Times New Roman" w:hAnsi="Times New Roman"/>
                <w:spacing w:val="2"/>
                <w:sz w:val="24"/>
                <w:lang w:eastAsia="en-US"/>
              </w:rPr>
              <w:t>санатории</w:t>
            </w:r>
            <w:r>
              <w:rPr>
                <w:spacing w:val="2"/>
                <w:sz w:val="24"/>
                <w:lang w:eastAsia="en-US"/>
              </w:rPr>
              <w:t>, а также предложений по устранению причин и условий, способствующих совершению преступлений коррупционной направленности</w:t>
            </w:r>
          </w:p>
          <w:p>
            <w:pPr>
              <w:pStyle w:val="Normal"/>
              <w:ind w:firstLine="74"/>
              <w:rPr>
                <w:rFonts w:ascii="PT Astra Serif" w:hAnsi="PT Astra Serif" w:eastAsia="Source Han Sans CN Regular" w:cs="Lohit Devanagari"/>
                <w:color w:val="FF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val="FF0000"/>
                <w:spacing w:val="2"/>
                <w:kern w:val="2"/>
                <w:sz w:val="24"/>
                <w:szCs w:val="24"/>
                <w:lang w:eastAsia="en-US"/>
              </w:rPr>
            </w:r>
          </w:p>
        </w:tc>
      </w:tr>
      <w:tr>
        <w:trPr>
          <w:trHeight w:val="345" w:hRule="atLeast"/>
          <w:cantSplit w:val="true"/>
        </w:trPr>
        <w:tc>
          <w:tcPr>
            <w:tcW w:w="15451" w:type="dxa"/>
            <w:gridSpan w:val="5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4"/>
              <w:jc w:val="center"/>
              <w:rPr>
                <w:spacing w:val="2"/>
                <w:sz w:val="24"/>
                <w:lang w:eastAsia="en-US"/>
              </w:rPr>
            </w:pPr>
            <w:r>
              <w:rPr>
                <w:b/>
                <w:bCs/>
                <w:sz w:val="24"/>
                <w:szCs w:val="24"/>
              </w:rPr>
              <w:t>I</w:t>
            </w:r>
            <w:r>
              <w:rPr>
                <w:b/>
                <w:bCs/>
                <w:sz w:val="24"/>
                <w:szCs w:val="24"/>
                <w:lang w:val="en-US"/>
              </w:rPr>
              <w:t>II</w:t>
            </w:r>
            <w:r>
              <w:rPr>
                <w:b/>
                <w:bCs/>
                <w:sz w:val="24"/>
                <w:szCs w:val="24"/>
              </w:rPr>
              <w:t>. Взаимодействие Росгвардии с институтами гражданского общества и гражданами, создание эффективной системы обратной связи, обеспечение доступности информации о деятельности Росгвардии</w:t>
            </w:r>
          </w:p>
        </w:tc>
      </w:tr>
      <w:tr>
        <w:trPr>
          <w:trHeight w:val="381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Обеспечение возможности оперативного предоставления гражданами и организациями информации о фактах коррупции в Росгвардии или нарушениях требований к служебному поведению государственных служащих Росгвардии посредством приема электронных сообщений на официальный интернет-сайте Росгвардии (на выделенный адрес электронной почты по вопросам коррупции) с обеспечением возможности взаимодействия заявителя с Росгвардией с использованием компьютерных технологий в режиме «онлайн» или телефонам «горячей линии»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</w:t>
            </w:r>
          </w:p>
          <w:p>
            <w:pPr>
              <w:pStyle w:val="Normal"/>
              <w:spacing w:lineRule="exact" w:line="320"/>
              <w:ind w:hanging="0"/>
              <w:jc w:val="center"/>
              <w:rPr>
                <w:rFonts w:ascii="Calibri" w:hAnsi="Calibri" w:eastAsia="Source Han Sans CN Regular" w:cs="Lohit Devanagari" w:asciiTheme="minorHAnsi" w:hAnsiTheme="minorHAns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Calibri" w:hAnsi="Calibri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06" w:leader="none"/>
              </w:tabs>
              <w:spacing w:lineRule="exact" w:line="320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Ежеквартально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4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Доклад по результатам работы системы обратной связи для получения  сообщений о фактах коррупции</w:t>
            </w:r>
          </w:p>
        </w:tc>
      </w:tr>
      <w:tr>
        <w:trPr>
          <w:trHeight w:val="239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highlight w:val="white"/>
                <w:lang w:eastAsia="en-US"/>
              </w:rPr>
            </w:pPr>
            <w:r>
              <w:rPr>
                <w:spacing w:val="2"/>
                <w:sz w:val="24"/>
                <w:highlight w:val="white"/>
                <w:lang w:eastAsia="en-US"/>
              </w:rPr>
              <w:t>Обобщений информации о полученных в разных формах обращений граждан и организаций по вопросам противодействия коррупции и принятых по таким обращениям мерах реаг</w:t>
            </w:r>
            <w:bookmarkStart w:id="0" w:name="_GoBack"/>
            <w:bookmarkEnd w:id="0"/>
            <w:r>
              <w:rPr>
                <w:spacing w:val="2"/>
                <w:sz w:val="24"/>
                <w:highlight w:val="white"/>
                <w:lang w:eastAsia="en-US"/>
              </w:rPr>
              <w:t>ирования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spacing w:before="0" w:after="0"/>
              <w:ind w:hanging="0" w:left="-7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  <w:highlight w:val="white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  <w:highlight w:val="white"/>
              </w:rPr>
              <w:t>Ежеквартально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2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highlight w:val="white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highlight w:val="white"/>
                <w:lang w:eastAsia="en-US"/>
              </w:rPr>
              <w:t>Подготовка информационно-справочного материала о принятых мерах реагирования на поступившие обращения граждан и организаций</w:t>
            </w:r>
          </w:p>
        </w:tc>
      </w:tr>
      <w:tr>
        <w:trPr>
          <w:trHeight w:val="239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Рассмотрение вопросов правоприменительной практики по результатам вступивших в законную силу решений судов, арбитражных судов о признании недействительными ненормативных правовых актов, незаконными решений и действий (бездействия) Росгвардии, субъектов войск национальной гвардии и их должностных лиц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 w:left="-70" w:right="-7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Управление санатория, руководители структурных подразделений</w:t>
            </w:r>
          </w:p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Web"/>
              <w:spacing w:lineRule="exact" w:line="320" w:beforeAutospacing="0" w:before="0" w:afterAutospacing="0" w:after="0"/>
              <w:ind w:hanging="0" w:left="-57" w:right="-113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lang w:eastAsia="en-US"/>
              </w:rPr>
              <w:t>Ежеквартально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Выработка и принятие мер по предупреждению и устранению причин выявленных нарушений. Подготовка аналитических материалов по результатам правоприменительной практики</w:t>
            </w:r>
          </w:p>
          <w:p>
            <w:pPr>
              <w:pStyle w:val="Normal"/>
              <w:ind w:firstLine="72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</w:r>
          </w:p>
        </w:tc>
      </w:tr>
      <w:tr>
        <w:trPr>
          <w:trHeight w:val="353" w:hRule="atLeast"/>
          <w:cantSplit w:val="true"/>
        </w:trPr>
        <w:tc>
          <w:tcPr>
            <w:tcW w:w="1545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2"/>
              <w:jc w:val="center"/>
              <w:rPr>
                <w:spacing w:val="-2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IV. Мероприятия Росгвардии, направленные на противодействие коррупции с учетом специфики  ее деятельности</w:t>
            </w:r>
          </w:p>
        </w:tc>
      </w:tr>
      <w:tr>
        <w:trPr>
          <w:trHeight w:val="353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Проведение семинара-совещания с руководителями кадровых органов (должностными лицами, в обязанности которых входит работа по профилактике коррупционных правонарушений) по вопросам организации исполнения требований и положений законодательства о противодействии коррупции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ПНС по СЧиК-НАО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9"/>
                <w:tab w:val="left" w:pos="406" w:leader="none"/>
              </w:tabs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Ежегодно ноябрь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2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Выработка согласованных мер и единых подходов, реализуемых в рамках противодействия коррупции</w:t>
            </w:r>
          </w:p>
        </w:tc>
      </w:tr>
      <w:tr>
        <w:trPr>
          <w:trHeight w:val="353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 xml:space="preserve">Мониторинг деятельности комиссий по соблюдению требований к служебному поведению федеральных государственных служащих и урегулированию конфликта интересов (аттестационной комиссии) при рассмотрении вопросов соблюдения государственными служащими </w:t>
            </w:r>
            <w:r>
              <w:rPr>
                <w:rFonts w:cs="Times New Roman" w:ascii="Times New Roman" w:hAnsi="Times New Roman"/>
                <w:spacing w:val="2"/>
                <w:sz w:val="24"/>
                <w:lang w:eastAsia="en-US"/>
              </w:rPr>
              <w:t>санатория</w:t>
            </w:r>
            <w:r>
              <w:rPr>
                <w:spacing w:val="2"/>
                <w:sz w:val="24"/>
                <w:lang w:eastAsia="en-US"/>
              </w:rPr>
              <w:t xml:space="preserve"> ограничений и запретов, требований о предотвращении или об урегулировании конфликта интересов, исполнения ими обязанностей, установленных законодательством о противодействии коррупции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ПНС по СЧиК-НАО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spacing w:before="0" w:after="0"/>
              <w:ind w:hanging="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</w:rPr>
              <w:t>Ежегодно</w:t>
            </w:r>
          </w:p>
          <w:p>
            <w:pPr>
              <w:pStyle w:val="3"/>
              <w:shd w:val="clear" w:color="auto" w:fill="auto"/>
              <w:spacing w:before="0" w:after="0"/>
              <w:ind w:hanging="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</w:rPr>
              <w:t>до 1 февраля, до 1 мая,</w:t>
            </w:r>
          </w:p>
          <w:p>
            <w:pPr>
              <w:pStyle w:val="3"/>
              <w:shd w:val="clear" w:color="auto" w:fill="auto"/>
              <w:spacing w:before="0" w:after="0"/>
              <w:ind w:hanging="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</w:rPr>
              <w:t>до 1 августа, до 20 октября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2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Осуществление контроля за работой и принятыми решениями аттестационных комиссий</w:t>
            </w:r>
          </w:p>
        </w:tc>
      </w:tr>
      <w:tr>
        <w:trPr>
          <w:trHeight w:val="353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Обобщение правоприменительной практики по результатам анализа поступивших из органов прокуратуры представлений об устранении нарушений законодательства о противодействии коррупции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00"/>
              <w:ind w:hanging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ЗНСпо ВПР,</w:t>
            </w:r>
          </w:p>
          <w:p>
            <w:pPr>
              <w:pStyle w:val="Normal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 xml:space="preserve">ПНС по СЧиК-НАО, </w:t>
            </w: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ПН</w:t>
            </w:r>
            <w:r>
              <w:rPr>
                <w:rFonts w:eastAsia="Source Han Sans CN Regular" w:cs="Lohit Devanagari" w:ascii="Calibri" w:hAnsi="Calibri" w:asciiTheme="minorHAnsi" w:hAnsiTheme="minorHAns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С</w:t>
            </w: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 xml:space="preserve"> по ПР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spacing w:before="0" w:after="0"/>
              <w:ind w:hanging="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</w:rPr>
              <w:t>Ежегодно</w:t>
            </w:r>
          </w:p>
          <w:p>
            <w:pPr>
              <w:pStyle w:val="3"/>
              <w:shd w:val="clear" w:color="auto" w:fill="auto"/>
              <w:spacing w:before="0" w:after="0"/>
              <w:ind w:hanging="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</w:rPr>
              <w:t>до 1 февраля, до 1 августа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2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Подготовка предложений по принятию мер в целях устранения и предупреждения причин выявленных нарушений</w:t>
            </w:r>
          </w:p>
        </w:tc>
      </w:tr>
      <w:tr>
        <w:trPr>
          <w:trHeight w:val="622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2"/>
              </w:numPr>
              <w:ind w:hanging="360" w:left="36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 xml:space="preserve">Анализ соблюдения ограничений гражданами, замещавшими должности государственной службы в </w:t>
            </w:r>
            <w:r>
              <w:rPr>
                <w:rFonts w:cs="Times New Roman" w:ascii="Times New Roman" w:hAnsi="Times New Roman"/>
                <w:spacing w:val="2"/>
                <w:sz w:val="24"/>
                <w:lang w:eastAsia="en-US"/>
              </w:rPr>
              <w:t>санатории</w:t>
            </w:r>
            <w:r>
              <w:rPr>
                <w:spacing w:val="2"/>
                <w:sz w:val="24"/>
                <w:lang w:eastAsia="en-US"/>
              </w:rPr>
              <w:t>, включенные в соответствующие перечни, при заключении ими трудового договора или гражданско-правового договора в организации, если отдельные функции по государственному управлению этой организации входили в должностные (служебные) обязанности государственного служащего, до истечения двух лет со дня увольнения с государственной службы РФ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/>
              <w:jc w:val="center"/>
              <w:rPr>
                <w:rFonts w:ascii="Calibri" w:hAnsi="Calibri" w:eastAsia="Source Han Sans CN Regular" w:cs="Lohit Devanagari" w:asciiTheme="minorHAnsi" w:hAnsiTheme="minorHAns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ПНС по СЧиК-НАО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3"/>
              <w:shd w:val="clear" w:color="auto" w:fill="auto"/>
              <w:spacing w:before="0" w:after="0"/>
              <w:ind w:hanging="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</w:rPr>
              <w:t>Ежегодно</w:t>
            </w:r>
          </w:p>
          <w:p>
            <w:pPr>
              <w:pStyle w:val="3"/>
              <w:shd w:val="clear" w:color="auto" w:fill="auto"/>
              <w:spacing w:before="0" w:after="0"/>
              <w:ind w:hanging="0" w:right="-70"/>
              <w:rPr>
                <w:rFonts w:ascii="PT Astra Serif" w:hAnsi="PT Astra Serif" w:eastAsia="Source Han Sans CN Regular" w:cs="Lohit Devanagari"/>
                <w:kern w:val="2"/>
                <w:sz w:val="24"/>
                <w:szCs w:val="24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kern w:val="2"/>
                <w:sz w:val="24"/>
                <w:szCs w:val="24"/>
              </w:rPr>
              <w:t>до 1 февраля, до 1 августа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firstLine="72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 xml:space="preserve">Доклад по результатам анализа контроля за соблюдением ограничений, налагаемых граждан, замещавшим должности государственной службы в </w:t>
            </w:r>
            <w:r>
              <w:rPr>
                <w:rFonts w:eastAsia="Source Han Sans CN Regular"/>
                <w:spacing w:val="2"/>
                <w:kern w:val="2"/>
                <w:sz w:val="24"/>
                <w:szCs w:val="24"/>
                <w:lang w:eastAsia="en-US"/>
              </w:rPr>
              <w:t>санатории</w:t>
            </w: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, при заключении ими трудового договора</w:t>
            </w:r>
          </w:p>
        </w:tc>
      </w:tr>
      <w:tr>
        <w:trPr>
          <w:trHeight w:val="551" w:hRule="atLeast"/>
          <w:cantSplit w:val="true"/>
        </w:trPr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ind w:hanging="0" w:right="-70"/>
              <w:jc w:val="center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22</w:t>
            </w:r>
          </w:p>
        </w:tc>
        <w:tc>
          <w:tcPr>
            <w:tcW w:w="72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user2"/>
              <w:jc w:val="both"/>
              <w:rPr>
                <w:spacing w:val="2"/>
                <w:sz w:val="24"/>
                <w:lang w:eastAsia="en-US"/>
              </w:rPr>
            </w:pPr>
            <w:r>
              <w:rPr>
                <w:spacing w:val="2"/>
                <w:sz w:val="24"/>
                <w:lang w:eastAsia="en-US"/>
              </w:rPr>
              <w:t>Разработка и утверждение плана противодействия коррупции на соответствующий период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20"/>
              <w:ind w:hanging="0"/>
              <w:jc w:val="center"/>
              <w:rPr>
                <w:spacing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ЗНС по ВПР,</w:t>
            </w:r>
          </w:p>
          <w:p>
            <w:pPr>
              <w:pStyle w:val="Normal"/>
              <w:spacing w:lineRule="exact" w:line="320"/>
              <w:ind w:hanging="0"/>
              <w:jc w:val="center"/>
              <w:rPr>
                <w:rFonts w:ascii="PT Astra Serif" w:hAnsi="PT Astra Serif" w:eastAsia="Source Han Sans CN Regular" w:cs="Lohit Devanagari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spacing w:val="2"/>
                <w:sz w:val="24"/>
                <w:szCs w:val="24"/>
                <w:lang w:eastAsia="en-US"/>
              </w:rPr>
              <w:t>ПНС по СЧиК-НАО</w:t>
            </w:r>
          </w:p>
        </w:tc>
        <w:tc>
          <w:tcPr>
            <w:tcW w:w="1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20"/>
              <w:ind w:hanging="0"/>
              <w:jc w:val="center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color w:themeColor="text1" w:val="000000"/>
                <w:spacing w:val="2"/>
                <w:kern w:val="2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4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color="auto" w:fill="auto" w:val="clear"/>
          </w:tcPr>
          <w:p>
            <w:pPr>
              <w:pStyle w:val="Normal"/>
              <w:spacing w:lineRule="exact" w:line="320"/>
              <w:ind w:firstLine="72"/>
              <w:rPr>
                <w:rFonts w:ascii="PT Astra Serif" w:hAnsi="PT Astra Serif" w:eastAsia="Source Han Sans CN Regular" w:cs="Lohit Devanagari"/>
                <w:spacing w:val="2"/>
                <w:kern w:val="2"/>
                <w:sz w:val="24"/>
                <w:szCs w:val="24"/>
                <w:lang w:eastAsia="en-US"/>
              </w:rPr>
            </w:pPr>
            <w:r>
              <w:rPr>
                <w:rFonts w:eastAsia="Source Han Sans CN Regular" w:cs="Lohit Devanagari" w:ascii="PT Astra Serif" w:hAnsi="PT Astra Serif"/>
                <w:spacing w:val="2"/>
                <w:kern w:val="2"/>
                <w:sz w:val="24"/>
                <w:szCs w:val="24"/>
                <w:lang w:eastAsia="en-US"/>
              </w:rPr>
              <w:t>Предоставление доклада в ГУК Росгвардии в течении месяца со дня утверждения плана противодействия коррупции</w:t>
            </w:r>
          </w:p>
        </w:tc>
      </w:tr>
    </w:tbl>
    <w:p>
      <w:pPr>
        <w:pStyle w:val="Normal"/>
        <w:ind w:hanging="0"/>
        <w:rPr>
          <w:spacing w:val="2"/>
          <w:szCs w:val="28"/>
          <w:lang w:eastAsia="en-US"/>
        </w:rPr>
      </w:pPr>
      <w:r>
        <w:rPr>
          <w:spacing w:val="2"/>
          <w:szCs w:val="28"/>
          <w:lang w:eastAsia="en-US"/>
        </w:rPr>
      </w:r>
    </w:p>
    <w:p>
      <w:pPr>
        <w:pStyle w:val="Normal"/>
        <w:ind w:hanging="0"/>
        <w:rPr>
          <w:szCs w:val="28"/>
        </w:rPr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orient="landscape" w:w="16838" w:h="11906"/>
      <w:pgMar w:left="992" w:right="851" w:gutter="0" w:header="426" w:top="849" w:footer="0" w:bottom="567"/>
      <w:pgNumType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default"/>
  </w:font>
  <w:font w:name="Tahoma">
    <w:charset w:val="01"/>
    <w:family w:val="swiss"/>
    <w:pitch w:val="default"/>
  </w:font>
  <w:font w:name="PT Astra Serif">
    <w:charset w:val="01"/>
    <w:family w:val="roman"/>
    <w:pitch w:val="default"/>
  </w:font>
  <w:font w:name="Arial">
    <w:charset w:val="01"/>
    <w:family w:val="swiss"/>
    <w:pitch w:val="default"/>
  </w:font>
  <w:font w:name="Courier New">
    <w:charset w:val="01"/>
    <w:family w:val="swiss"/>
    <w:pitch w:val="default"/>
  </w:font>
  <w:font w:name="Verdana">
    <w:charset w:val="01"/>
    <w:family w:val="swiss"/>
    <w:pitch w:val="default"/>
  </w:font>
  <w:font w:name="Calibri">
    <w:charset w:val="01"/>
    <w:family w:val="swiss"/>
    <w:pitch w:val="default"/>
  </w:font>
  <w:font w:name="Calibri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750173358"/>
    </w:sdtPr>
    <w:sdtContent>
      <w:p>
        <w:pPr>
          <w:pStyle w:val="Header"/>
          <w:ind w:hanging="0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 xml:space="preserve"> PAGE </w:instrText>
        </w:r>
        <w:r>
          <w:rPr>
            <w:sz w:val="24"/>
          </w:rPr>
          <w:fldChar w:fldCharType="separate"/>
        </w:r>
        <w:r>
          <w:rPr>
            <w:sz w:val="24"/>
          </w:rPr>
          <w:t>6</w:t>
        </w:r>
        <w:r>
          <w:rPr>
            <w:sz w:val="24"/>
          </w:rPr>
          <w:fldChar w:fldCharType="end"/>
        </w:r>
      </w:p>
    </w:sdtContent>
  </w:sdt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sz w:val="28"/>
        <w:i w:val="false"/>
        <w:u w:val="none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0"/>
  <w:embedSystemFonts/>
  <w:defaultTabStop w:val="709"/>
  <w:autoHyphenation w:val="true"/>
  <w:hyphenationZone w:val="142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uiPriority="59" w:semiHidden="0" w:unhideWhenUsed="0"/>
    <w:lsdException w:name="Placeholder Text" w:uiPriority="99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iPriority="99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869c3"/>
    <w:pPr>
      <w:widowControl/>
      <w:suppressAutoHyphens w:val="true"/>
      <w:bidi w:val="0"/>
      <w:spacing w:before="0" w:after="0"/>
      <w:ind w:firstLine="709"/>
      <w:jc w:val="both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paragraph" w:styleId="Heading1">
    <w:name w:val="heading 1"/>
    <w:basedOn w:val="Normal"/>
    <w:next w:val="Normal"/>
    <w:qFormat/>
    <w:rsid w:val="00b869c3"/>
    <w:pPr>
      <w:keepNext w:val="true"/>
      <w:tabs>
        <w:tab w:val="clear" w:pos="709"/>
        <w:tab w:val="left" w:pos="720" w:leader="none"/>
      </w:tabs>
      <w:ind w:hanging="720" w:left="720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b869c3"/>
    <w:pPr>
      <w:keepNext w:val="true"/>
      <w:ind w:firstLine="142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b869c3"/>
    <w:pPr>
      <w:keepNext w:val="true"/>
      <w:ind w:hanging="0"/>
      <w:outlineLvl w:val="2"/>
    </w:pPr>
    <w:rPr>
      <w:b/>
      <w:bCs/>
    </w:rPr>
  </w:style>
  <w:style w:type="paragraph" w:styleId="Heading6">
    <w:name w:val="heading 6"/>
    <w:basedOn w:val="Normal"/>
    <w:next w:val="Normal"/>
    <w:qFormat/>
    <w:rsid w:val="004f5164"/>
    <w:pPr>
      <w:keepNext w:val="true"/>
      <w:numPr>
        <w:ilvl w:val="0"/>
        <w:numId w:val="1"/>
      </w:numPr>
      <w:jc w:val="center"/>
      <w:outlineLvl w:val="5"/>
    </w:pPr>
    <w:rPr>
      <w:b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b869c3"/>
    <w:rPr/>
  </w:style>
  <w:style w:type="character" w:styleId="Style10" w:customStyle="1">
    <w:name w:val="Текст сноски Знак"/>
    <w:basedOn w:val="DefaultParagraphFont"/>
    <w:uiPriority w:val="99"/>
    <w:qFormat/>
    <w:rsid w:val="0051476a"/>
    <w:rPr/>
  </w:style>
  <w:style w:type="character" w:styleId="user" w:customStyle="1">
    <w:name w:val="Привязка сноски (user)"/>
    <w:qFormat/>
    <w:rPr>
      <w:vertAlign w:val="superscript"/>
    </w:rPr>
  </w:style>
  <w:style w:type="character" w:styleId="FootnoteCharacters" w:customStyle="1">
    <w:name w:val="Footnote Characters"/>
    <w:qFormat/>
    <w:rsid w:val="0051476a"/>
    <w:rPr>
      <w:vertAlign w:val="superscript"/>
    </w:rPr>
  </w:style>
  <w:style w:type="character" w:styleId="FontStyle11" w:customStyle="1">
    <w:name w:val="Font Style11"/>
    <w:qFormat/>
    <w:rsid w:val="00df3740"/>
    <w:rPr>
      <w:rFonts w:ascii="Times New Roman" w:hAnsi="Times New Roman" w:cs="Times New Roman"/>
      <w:sz w:val="22"/>
      <w:szCs w:val="22"/>
    </w:rPr>
  </w:style>
  <w:style w:type="character" w:styleId="Style11" w:customStyle="1">
    <w:name w:val="Нижний колонтитул Знак"/>
    <w:qFormat/>
    <w:rsid w:val="00cf384c"/>
    <w:rPr>
      <w:sz w:val="28"/>
    </w:rPr>
  </w:style>
  <w:style w:type="character" w:styleId="2" w:customStyle="1">
    <w:name w:val="Основной текст (2)_"/>
    <w:qFormat/>
    <w:locked/>
    <w:rsid w:val="0054003d"/>
    <w:rPr>
      <w:sz w:val="26"/>
      <w:szCs w:val="26"/>
      <w:lang w:bidi="ar-SA"/>
    </w:rPr>
  </w:style>
  <w:style w:type="character" w:styleId="Style12" w:customStyle="1">
    <w:name w:val="Сноска_"/>
    <w:qFormat/>
    <w:locked/>
    <w:rsid w:val="00e20f6d"/>
    <w:rPr>
      <w:sz w:val="18"/>
      <w:szCs w:val="18"/>
      <w:lang w:bidi="ar-SA"/>
    </w:rPr>
  </w:style>
  <w:style w:type="character" w:styleId="6" w:customStyle="1">
    <w:name w:val="Основной текст (6)_"/>
    <w:qFormat/>
    <w:locked/>
    <w:rsid w:val="00df2e90"/>
    <w:rPr>
      <w:sz w:val="17"/>
      <w:szCs w:val="17"/>
      <w:lang w:bidi="ar-SA"/>
    </w:rPr>
  </w:style>
  <w:style w:type="character" w:styleId="61" w:customStyle="1">
    <w:name w:val="Основной текст (6)"/>
    <w:basedOn w:val="6"/>
    <w:qFormat/>
    <w:rsid w:val="00df2e90"/>
    <w:rPr>
      <w:sz w:val="17"/>
      <w:szCs w:val="17"/>
      <w:lang w:bidi="ar-SA"/>
    </w:rPr>
  </w:style>
  <w:style w:type="character" w:styleId="65" w:customStyle="1">
    <w:name w:val="Основной текст (6)5"/>
    <w:basedOn w:val="6"/>
    <w:qFormat/>
    <w:rsid w:val="00df2e90"/>
    <w:rPr>
      <w:sz w:val="17"/>
      <w:szCs w:val="17"/>
      <w:lang w:bidi="ar-SA"/>
    </w:rPr>
  </w:style>
  <w:style w:type="character" w:styleId="Style13" w:customStyle="1">
    <w:name w:val="Текст выноски Знак"/>
    <w:qFormat/>
    <w:rsid w:val="00fb43d8"/>
    <w:rPr>
      <w:rFonts w:ascii="Tahoma" w:hAnsi="Tahoma" w:cs="Tahoma"/>
      <w:sz w:val="16"/>
      <w:szCs w:val="16"/>
    </w:rPr>
  </w:style>
  <w:style w:type="character" w:styleId="Style14" w:customStyle="1">
    <w:name w:val="Основной текст_"/>
    <w:qFormat/>
    <w:rsid w:val="001b2218"/>
    <w:rPr>
      <w:spacing w:val="3"/>
      <w:sz w:val="13"/>
      <w:szCs w:val="13"/>
      <w:shd w:fill="FFFFFF" w:val="clear"/>
    </w:rPr>
  </w:style>
  <w:style w:type="character" w:styleId="11pt0pt" w:customStyle="1">
    <w:name w:val="Основной текст + 11 pt;Интервал 0 pt"/>
    <w:qFormat/>
    <w:rsid w:val="00d1395f"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1"/>
      <w:w w:val="100"/>
      <w:sz w:val="22"/>
      <w:szCs w:val="22"/>
      <w:u w:val="none"/>
      <w:lang w:val="ru-RU"/>
    </w:rPr>
  </w:style>
  <w:style w:type="character" w:styleId="Style15" w:customStyle="1">
    <w:name w:val="Верхний колонтитул Знак"/>
    <w:uiPriority w:val="99"/>
    <w:qFormat/>
    <w:rsid w:val="00ff7bfa"/>
    <w:rPr>
      <w:sz w:val="28"/>
    </w:rPr>
  </w:style>
  <w:style w:type="character" w:styleId="user1" w:customStyle="1">
    <w:name w:val="Символ сноски (user)"/>
    <w:qFormat/>
    <w:rsid w:val="00ed2a70"/>
    <w:rPr>
      <w:vertAlign w:val="superscript"/>
    </w:rPr>
  </w:style>
  <w:style w:type="character" w:styleId="WW8Num7z5" w:customStyle="1">
    <w:name w:val="WW8Num7z5"/>
    <w:qFormat/>
    <w:rsid w:val="003b075f"/>
    <w:rPr/>
  </w:style>
  <w:style w:type="paragraph" w:styleId="Style16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rsid w:val="00b869c3"/>
    <w:pPr>
      <w:ind w:hanging="0"/>
    </w:pPr>
    <w:rPr/>
  </w:style>
  <w:style w:type="paragraph" w:styleId="List">
    <w:name w:val="List"/>
    <w:basedOn w:val="Normal"/>
    <w:rsid w:val="00c1590c"/>
    <w:pPr>
      <w:spacing w:before="0" w:after="0"/>
      <w:ind w:hanging="283" w:left="283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Title">
    <w:name w:val="Title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Cs w:val="28"/>
    </w:rPr>
  </w:style>
  <w:style w:type="paragraph" w:styleId="IndexHeading">
    <w:name w:val="index heading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1" w:customStyle="1">
    <w:name w:val="Обычный1"/>
    <w:qFormat/>
    <w:rsid w:val="00b869c3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auto"/>
      <w:kern w:val="0"/>
      <w:sz w:val="28"/>
      <w:szCs w:val="20"/>
      <w:lang w:val="ru-RU" w:eastAsia="ru-RU" w:bidi="ar-SA"/>
    </w:rPr>
  </w:style>
  <w:style w:type="paragraph" w:styleId="Style18" w:customStyle="1">
    <w:name w:val="Курьер"/>
    <w:basedOn w:val="1"/>
    <w:qFormat/>
    <w:rsid w:val="00b869c3"/>
    <w:pPr/>
    <w:rPr>
      <w:rFonts w:ascii="Courier New" w:hAnsi="Courier New"/>
    </w:rPr>
  </w:style>
  <w:style w:type="paragraph" w:styleId="Style19" w:customStyle="1">
    <w:name w:val="Верхний и нижний колонтитулы"/>
    <w:basedOn w:val="Normal"/>
    <w:qFormat/>
    <w:pPr/>
    <w:rPr/>
  </w:style>
  <w:style w:type="paragraph" w:styleId="Style20">
    <w:name w:val="Колонтитулы"/>
    <w:basedOn w:val="Normal"/>
    <w:qFormat/>
    <w:pPr/>
    <w:rPr/>
  </w:style>
  <w:style w:type="paragraph" w:styleId="Header">
    <w:name w:val="header"/>
    <w:basedOn w:val="Normal"/>
    <w:uiPriority w:val="99"/>
    <w:rsid w:val="00b869c3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BodyTextIndent">
    <w:name w:val="Body Text Indent"/>
    <w:basedOn w:val="Normal"/>
    <w:rsid w:val="00b869c3"/>
    <w:pPr>
      <w:ind w:firstLine="213"/>
    </w:pPr>
    <w:rPr/>
  </w:style>
  <w:style w:type="paragraph" w:styleId="21" w:customStyle="1">
    <w:name w:val="Основной текст 21"/>
    <w:basedOn w:val="Normal"/>
    <w:qFormat/>
    <w:rsid w:val="00b869c3"/>
    <w:pPr>
      <w:textAlignment w:val="baseline"/>
    </w:pPr>
    <w:rPr/>
  </w:style>
  <w:style w:type="paragraph" w:styleId="BodyTextIndent2">
    <w:name w:val="Body Text Indent 2"/>
    <w:basedOn w:val="Normal"/>
    <w:qFormat/>
    <w:rsid w:val="00b869c3"/>
    <w:pPr>
      <w:ind w:firstLine="213"/>
    </w:pPr>
    <w:rPr>
      <w:b/>
      <w:bCs/>
      <w:i/>
      <w:iCs/>
    </w:rPr>
  </w:style>
  <w:style w:type="paragraph" w:styleId="BodyTextIndent3">
    <w:name w:val="Body Text Indent 3"/>
    <w:basedOn w:val="Normal"/>
    <w:qFormat/>
    <w:rsid w:val="00b869c3"/>
    <w:pPr>
      <w:ind w:firstLine="213"/>
    </w:pPr>
    <w:rPr>
      <w:b/>
      <w:bCs/>
      <w:i/>
      <w:iCs/>
      <w:u w:val="single"/>
    </w:rPr>
  </w:style>
  <w:style w:type="paragraph" w:styleId="BodyText2">
    <w:name w:val="Body Text 2"/>
    <w:basedOn w:val="Normal"/>
    <w:qFormat/>
    <w:rsid w:val="00b869c3"/>
    <w:pPr>
      <w:ind w:hanging="0"/>
    </w:pPr>
    <w:rPr>
      <w:sz w:val="24"/>
      <w:szCs w:val="24"/>
    </w:rPr>
  </w:style>
  <w:style w:type="paragraph" w:styleId="22" w:customStyle="1">
    <w:name w:val="Обычный2"/>
    <w:qFormat/>
    <w:rsid w:val="00a06795"/>
    <w:pPr>
      <w:widowControl w:val="false"/>
      <w:suppressAutoHyphens w:val="true"/>
      <w:bidi w:val="0"/>
      <w:spacing w:lineRule="auto" w:line="300" w:before="0" w:after="0"/>
      <w:ind w:firstLine="72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ru-RU" w:eastAsia="ru-RU" w:bidi="ar-SA"/>
    </w:rPr>
  </w:style>
  <w:style w:type="paragraph" w:styleId="ConsPlusTitle" w:customStyle="1">
    <w:name w:val="ConsPlusTitle"/>
    <w:qFormat/>
    <w:rsid w:val="00ed1a74"/>
    <w:pPr>
      <w:widowControl w:val="false"/>
      <w:suppressAutoHyphens w:val="true"/>
      <w:bidi w:val="0"/>
      <w:spacing w:before="0" w:after="0"/>
      <w:jc w:val="left"/>
    </w:pPr>
    <w:rPr>
      <w:rFonts w:ascii="Arial" w:hAnsi="Arial" w:cs="Arial" w:eastAsia="Times New Roman"/>
      <w:b/>
      <w:bCs/>
      <w:color w:val="auto"/>
      <w:kern w:val="0"/>
      <w:sz w:val="28"/>
      <w:szCs w:val="20"/>
      <w:lang w:val="ru-RU" w:eastAsia="ru-RU" w:bidi="ar-SA"/>
    </w:rPr>
  </w:style>
  <w:style w:type="paragraph" w:styleId="Style21" w:customStyle="1">
    <w:name w:val="Знак Знак Знак Знак Знак Знак"/>
    <w:basedOn w:val="Normal"/>
    <w:qFormat/>
    <w:rsid w:val="0086708d"/>
    <w:pPr>
      <w:spacing w:lineRule="exact" w:line="240" w:before="0" w:after="160"/>
      <w:ind w:hanging="0"/>
      <w:jc w:val="left"/>
    </w:pPr>
    <w:rPr>
      <w:rFonts w:ascii="Verdana" w:hAnsi="Verdana" w:cs="Verdana"/>
      <w:sz w:val="20"/>
      <w:lang w:val="en-US" w:eastAsia="en-US"/>
    </w:rPr>
  </w:style>
  <w:style w:type="paragraph" w:styleId="11" w:customStyle="1">
    <w:name w:val="Текст сноски1"/>
    <w:basedOn w:val="Normal"/>
    <w:qFormat/>
    <w:rsid w:val="00e20f6d"/>
    <w:pPr>
      <w:shd w:val="clear" w:color="auto" w:fill="FFFFFF"/>
      <w:spacing w:lineRule="atLeast" w:line="240"/>
      <w:ind w:hanging="0"/>
      <w:jc w:val="left"/>
    </w:pPr>
    <w:rPr>
      <w:sz w:val="18"/>
      <w:szCs w:val="18"/>
    </w:rPr>
  </w:style>
  <w:style w:type="paragraph" w:styleId="Style22" w:customStyle="1">
    <w:name w:val="Знак Знак Знак Знак Знак Знак Знак"/>
    <w:basedOn w:val="Normal"/>
    <w:qFormat/>
    <w:rsid w:val="00f9568f"/>
    <w:pPr>
      <w:spacing w:lineRule="exact" w:line="240" w:before="0" w:after="160"/>
      <w:ind w:hanging="0"/>
      <w:jc w:val="left"/>
    </w:pPr>
    <w:rPr>
      <w:rFonts w:ascii="Verdana" w:hAnsi="Verdana" w:cs="Verdana"/>
      <w:sz w:val="20"/>
      <w:lang w:val="en-US" w:eastAsia="en-US"/>
    </w:rPr>
  </w:style>
  <w:style w:type="paragraph" w:styleId="Footer">
    <w:name w:val="footer"/>
    <w:basedOn w:val="Normal"/>
    <w:rsid w:val="00cf384c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4" w:customStyle="1">
    <w:name w:val="Колонка 4"/>
    <w:basedOn w:val="Normal"/>
    <w:qFormat/>
    <w:rsid w:val="00fc2538"/>
    <w:pPr>
      <w:spacing w:before="60" w:after="0"/>
      <w:ind w:hanging="0" w:left="57" w:right="57"/>
    </w:pPr>
    <w:rPr>
      <w:rFonts w:ascii="Arial" w:hAnsi="Arial"/>
      <w:sz w:val="20"/>
    </w:rPr>
  </w:style>
  <w:style w:type="paragraph" w:styleId="23" w:customStyle="1">
    <w:name w:val="Основной текст (2)"/>
    <w:basedOn w:val="Normal"/>
    <w:qFormat/>
    <w:rsid w:val="0054003d"/>
    <w:pPr>
      <w:shd w:val="clear" w:color="auto" w:fill="FFFFFF"/>
      <w:spacing w:lineRule="atLeast" w:line="240" w:before="60" w:after="360"/>
      <w:ind w:hanging="0"/>
      <w:jc w:val="left"/>
    </w:pPr>
    <w:rPr>
      <w:sz w:val="26"/>
      <w:szCs w:val="26"/>
    </w:rPr>
  </w:style>
  <w:style w:type="paragraph" w:styleId="611" w:customStyle="1">
    <w:name w:val="Основной текст (6)1"/>
    <w:basedOn w:val="Normal"/>
    <w:qFormat/>
    <w:rsid w:val="00df2e90"/>
    <w:pPr>
      <w:shd w:val="clear" w:color="auto" w:fill="FFFFFF"/>
      <w:spacing w:lineRule="atLeast" w:line="240"/>
      <w:ind w:hanging="0"/>
      <w:jc w:val="left"/>
    </w:pPr>
    <w:rPr>
      <w:sz w:val="17"/>
      <w:szCs w:val="17"/>
    </w:rPr>
  </w:style>
  <w:style w:type="paragraph" w:styleId="Style31" w:customStyle="1">
    <w:name w:val="Style3"/>
    <w:basedOn w:val="Normal"/>
    <w:qFormat/>
    <w:rsid w:val="00d13719"/>
    <w:pPr>
      <w:widowControl w:val="false"/>
      <w:spacing w:lineRule="exact" w:line="301"/>
      <w:ind w:firstLine="543"/>
    </w:pPr>
    <w:rPr>
      <w:sz w:val="24"/>
      <w:szCs w:val="24"/>
    </w:rPr>
  </w:style>
  <w:style w:type="paragraph" w:styleId="BalloonText">
    <w:name w:val="Balloon Text"/>
    <w:basedOn w:val="Normal"/>
    <w:qFormat/>
    <w:rsid w:val="00fb43d8"/>
    <w:pPr/>
    <w:rPr>
      <w:rFonts w:ascii="Tahoma" w:hAnsi="Tahoma"/>
      <w:sz w:val="16"/>
      <w:szCs w:val="16"/>
    </w:rPr>
  </w:style>
  <w:style w:type="paragraph" w:styleId="221" w:customStyle="1">
    <w:name w:val="Основной текст22"/>
    <w:basedOn w:val="Normal"/>
    <w:qFormat/>
    <w:rsid w:val="001b2218"/>
    <w:pPr>
      <w:shd w:val="clear" w:color="auto" w:fill="FFFFFF"/>
      <w:ind w:hanging="1280"/>
      <w:jc w:val="center"/>
    </w:pPr>
    <w:rPr>
      <w:spacing w:val="3"/>
      <w:sz w:val="13"/>
      <w:szCs w:val="13"/>
    </w:rPr>
  </w:style>
  <w:style w:type="paragraph" w:styleId="3" w:customStyle="1">
    <w:name w:val="Основной текст3"/>
    <w:basedOn w:val="Normal"/>
    <w:qFormat/>
    <w:rsid w:val="00d1395f"/>
    <w:pPr>
      <w:widowControl w:val="false"/>
      <w:shd w:val="clear" w:color="auto" w:fill="FFFFFF"/>
      <w:spacing w:before="0" w:after="60"/>
      <w:ind w:hanging="0"/>
      <w:jc w:val="left"/>
    </w:pPr>
    <w:rPr>
      <w:spacing w:val="2"/>
      <w:sz w:val="25"/>
      <w:szCs w:val="25"/>
      <w:lang w:eastAsia="en-US"/>
    </w:rPr>
  </w:style>
  <w:style w:type="paragraph" w:styleId="ConsPlusNormal" w:customStyle="1">
    <w:name w:val="ConsPlusNormal"/>
    <w:qFormat/>
    <w:rsid w:val="008d3bf5"/>
    <w:pPr>
      <w:widowControl/>
      <w:suppressAutoHyphens w:val="true"/>
      <w:bidi w:val="0"/>
      <w:spacing w:before="0" w:after="0"/>
      <w:jc w:val="left"/>
    </w:pPr>
    <w:rPr>
      <w:rFonts w:eastAsia="Calibri" w:ascii="Times New Roman" w:hAnsi="Times New Roman" w:cs="Times New Roman"/>
      <w:color w:val="auto"/>
      <w:kern w:val="0"/>
      <w:sz w:val="32"/>
      <w:szCs w:val="32"/>
      <w:lang w:eastAsia="en-US" w:val="ru-RU" w:bidi="ar-SA"/>
    </w:rPr>
  </w:style>
  <w:style w:type="paragraph" w:styleId="NormalWeb">
    <w:name w:val="Normal (Web)"/>
    <w:basedOn w:val="Normal"/>
    <w:qFormat/>
    <w:rsid w:val="00ba672b"/>
    <w:pPr>
      <w:spacing w:beforeAutospacing="1" w:afterAutospacing="1"/>
      <w:ind w:hanging="0"/>
      <w:jc w:val="left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331e85"/>
    <w:pPr>
      <w:spacing w:lineRule="auto" w:line="276" w:before="0" w:after="200"/>
      <w:ind w:hanging="0" w:left="720"/>
      <w:contextualSpacing/>
      <w:jc w:val="left"/>
    </w:pPr>
    <w:rPr>
      <w:rFonts w:ascii="Calibri" w:hAnsi="Calibri" w:eastAsia="Calibri"/>
      <w:sz w:val="22"/>
      <w:szCs w:val="22"/>
      <w:lang w:eastAsia="en-US"/>
    </w:rPr>
  </w:style>
  <w:style w:type="paragraph" w:styleId="HEADERTEXT" w:customStyle="1">
    <w:name w:val=".HEADERTEXT"/>
    <w:uiPriority w:val="99"/>
    <w:qFormat/>
    <w:rsid w:val="00123036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2B4279"/>
      <w:kern w:val="0"/>
      <w:sz w:val="24"/>
      <w:szCs w:val="24"/>
      <w:lang w:val="ru-RU" w:eastAsia="ru-RU" w:bidi="ar-SA"/>
    </w:rPr>
  </w:style>
  <w:style w:type="paragraph" w:styleId="Style23" w:customStyle="1">
    <w:name w:val="Нормальный"/>
    <w:qFormat/>
    <w:rsid w:val="00e04e4d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paragraph" w:styleId="12" w:customStyle="1">
    <w:name w:val="Начало маркированного списка 1"/>
    <w:basedOn w:val="List"/>
    <w:next w:val="Normal"/>
    <w:qFormat/>
    <w:rsid w:val="00c1590c"/>
    <w:pPr>
      <w:widowControl w:val="false"/>
      <w:ind w:hanging="0" w:left="0"/>
      <w:textAlignment w:val="baseline"/>
    </w:pPr>
    <w:rPr>
      <w:rFonts w:ascii="PT Astra Serif" w:hAnsi="PT Astra Serif" w:eastAsia="Source Han Sans CN Regular" w:cs="Lohit Devanagari"/>
      <w:kern w:val="2"/>
      <w:sz w:val="21"/>
      <w:szCs w:val="24"/>
    </w:rPr>
  </w:style>
  <w:style w:type="paragraph" w:styleId="user2" w:customStyle="1">
    <w:name w:val="Содержимое таблицы (user)"/>
    <w:basedOn w:val="Normal"/>
    <w:qFormat/>
    <w:rsid w:val="00c1590c"/>
    <w:pPr>
      <w:widowControl w:val="false"/>
      <w:ind w:hanging="0"/>
      <w:jc w:val="center"/>
      <w:textAlignment w:val="baseline"/>
    </w:pPr>
    <w:rPr>
      <w:rFonts w:ascii="PT Astra Serif" w:hAnsi="PT Astra Serif" w:eastAsia="Source Han Sans CN Regular" w:cs="Lohit Devanagari"/>
      <w:kern w:val="2"/>
      <w:szCs w:val="24"/>
    </w:rPr>
  </w:style>
  <w:style w:type="paragraph" w:styleId="user3" w:customStyle="1">
    <w:name w:val="Заголовок таблицы (user)"/>
    <w:basedOn w:val="user2"/>
    <w:qFormat/>
    <w:pPr>
      <w:suppressLineNumbers/>
    </w:pPr>
    <w:rPr>
      <w:b/>
      <w:bCs/>
    </w:rPr>
  </w:style>
  <w:style w:type="numbering" w:styleId="Style24" w:default="1">
    <w:name w:val="Без списка"/>
    <w:uiPriority w:val="99"/>
    <w:semiHidden/>
    <w:unhideWhenUsed/>
    <w:qFormat/>
  </w:style>
  <w:style w:type="numbering" w:styleId="13" w:customStyle="1">
    <w:name w:val="Стиль1"/>
    <w:qFormat/>
    <w:rsid w:val="00331e85"/>
  </w:style>
  <w:style w:type="numbering" w:styleId="24" w:customStyle="1">
    <w:name w:val="Стиль2"/>
    <w:qFormat/>
    <w:rsid w:val="005e7d8a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e">
    <w:name w:val="Table Grid"/>
    <w:basedOn w:val="a1"/>
    <w:uiPriority w:val="59"/>
    <w:rsid w:val="00ad28e8"/>
    <w:rPr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40C15B-4820-4B4C-8104-F332B5080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1617</TotalTime>
  <Application>LibreOffice/25.2.6.2$Linux_X86_64 LibreOffice_project/520$Build-2</Application>
  <AppVersion>15.0000</AppVersion>
  <DocSecurity>0</DocSecurity>
  <Pages>6</Pages>
  <Words>1481</Words>
  <Characters>11441</Characters>
  <CharactersWithSpaces>12791</CharactersWithSpaces>
  <Paragraphs>147</Paragraphs>
  <Company>6 отдел ИВЦ при ГКВВ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2018-09-07T09:58:00Z</dcterms:created>
  <dc:creator>Семичев Д.В.</dc:creator>
  <dc:description/>
  <dc:language>ru-RU</dc:language>
  <cp:lastModifiedBy/>
  <cp:lastPrinted>2025-01-15T09:11:00Z</cp:lastPrinted>
  <dcterms:modified xsi:type="dcterms:W3CDTF">2026-03-12T18:39:06Z</dcterms:modified>
  <cp:revision>208</cp:revision>
  <dc:subject/>
  <dc:title>УТВЕРЖДАЮ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